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7A" w:rsidRPr="00D90E7A" w:rsidRDefault="00D90E7A" w:rsidP="00D90E7A">
      <w:pPr>
        <w:ind w:left="-1276"/>
        <w:jc w:val="both"/>
        <w:rPr>
          <w:rFonts w:ascii="Times New Roman" w:hAnsi="Times New Roman"/>
          <w:b/>
          <w:u w:val="single"/>
        </w:rPr>
      </w:pPr>
      <w:r w:rsidRPr="00D90E7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71525" cy="485775"/>
            <wp:effectExtent l="19050" t="0" r="9525" b="0"/>
            <wp:docPr id="1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401" t="6401" r="9673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7A">
        <w:rPr>
          <w:rFonts w:ascii="Times New Roman" w:hAnsi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</w:t>
      </w:r>
      <w:r w:rsidRPr="00D90E7A">
        <w:rPr>
          <w:rFonts w:ascii="Times New Roman" w:hAnsi="Times New Roman"/>
          <w:b/>
          <w:u w:val="single"/>
        </w:rPr>
        <w:t xml:space="preserve">ВЫПУСК № </w:t>
      </w:r>
      <w:r>
        <w:rPr>
          <w:rFonts w:ascii="Times New Roman" w:hAnsi="Times New Roman"/>
          <w:b/>
          <w:u w:val="single"/>
        </w:rPr>
        <w:t>3, СЕНТЯБРЬ</w:t>
      </w:r>
      <w:r w:rsidRPr="00D90E7A">
        <w:rPr>
          <w:rFonts w:ascii="Times New Roman" w:hAnsi="Times New Roman"/>
          <w:b/>
          <w:u w:val="single"/>
        </w:rPr>
        <w:t xml:space="preserve">  2012 ГОДА</w:t>
      </w:r>
    </w:p>
    <w:p w:rsidR="00D90E7A" w:rsidRPr="00D90E7A" w:rsidRDefault="00D90E7A" w:rsidP="00D90E7A">
      <w:pPr>
        <w:jc w:val="center"/>
        <w:rPr>
          <w:rFonts w:ascii="Times New Roman" w:hAnsi="Times New Roman"/>
          <w:b/>
        </w:rPr>
      </w:pPr>
      <w:r w:rsidRPr="00D90E7A">
        <w:rPr>
          <w:rFonts w:ascii="Times New Roman" w:hAnsi="Times New Roman"/>
          <w:b/>
        </w:rPr>
        <w:t>ВЕРХ-ИСЕТСКАЯ РАЙОННАЯ ОРГАНИЗАЦИЯ ПРОФСОЮЗА РАБОТНИКОВ НАРОДНОГО ОБРАЗОВАНИЯ И НАУКИ РФ</w:t>
      </w:r>
    </w:p>
    <w:p w:rsidR="00D90E7A" w:rsidRDefault="00DE0DE3" w:rsidP="00D90E7A">
      <w:pPr>
        <w:rPr>
          <w:rFonts w:ascii="Monotype Corsiva" w:eastAsia="Times New Roman" w:hAnsi="Monotype Corsiva"/>
          <w:b/>
          <w:bCs/>
          <w:sz w:val="32"/>
          <w:szCs w:val="32"/>
          <w:lang w:val="en-US" w:eastAsia="ru-RU"/>
        </w:rPr>
      </w:pPr>
      <w:r w:rsidRPr="00DE0DE3">
        <w:rPr>
          <w:rFonts w:ascii="Monotype Corsiva" w:eastAsia="Times New Roman" w:hAnsi="Monotype Corsiva"/>
          <w:b/>
          <w:bCs/>
          <w:sz w:val="32"/>
          <w:szCs w:val="32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9pt;height:33pt" fillcolor="#3cf" strokecolor="#009" strokeweight="1pt">
            <v:shadow on="t" color="#009" offset="7pt,-7pt"/>
            <v:textpath style="font-family:&quot;Impact&quot;;v-text-spacing:52429f;v-text-kern:t" trim="t" fitpath="t" xscale="f" string="СПРАШИВАЛИ? ОТВЕЧАЕМ…"/>
          </v:shape>
        </w:pict>
      </w:r>
    </w:p>
    <w:p w:rsidR="002F6943" w:rsidRDefault="00D90E7A" w:rsidP="002F6943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ОПЛАТА ТРУДА </w:t>
      </w:r>
      <w:r w:rsidRPr="00D339CE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РАБОТНИКОВ</w:t>
      </w: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 xml:space="preserve"> ОБРАЗОВАТЕЛЬНЫХ УЧРЕЖДЕНИЙ</w:t>
      </w:r>
    </w:p>
    <w:p w:rsidR="00C909E3" w:rsidRDefault="00D90E7A" w:rsidP="00C909E3">
      <w:pPr>
        <w:ind w:left="-1134" w:right="-426" w:hanging="284"/>
        <w:jc w:val="center"/>
        <w:rPr>
          <w:rFonts w:ascii="Times New Roman" w:hAnsi="Times New Roman"/>
          <w:b/>
          <w:sz w:val="28"/>
          <w:szCs w:val="28"/>
        </w:rPr>
      </w:pPr>
      <w:r w:rsidRPr="002F6943">
        <w:rPr>
          <w:rFonts w:ascii="Times New Roman" w:hAnsi="Times New Roman"/>
          <w:b/>
          <w:sz w:val="48"/>
          <w:szCs w:val="48"/>
          <w:lang w:eastAsia="ru-RU"/>
        </w:rPr>
        <w:t>?</w:t>
      </w:r>
      <w:r w:rsidRPr="002F69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F6943">
        <w:rPr>
          <w:rFonts w:ascii="Times New Roman" w:hAnsi="Times New Roman"/>
          <w:b/>
          <w:sz w:val="28"/>
          <w:szCs w:val="28"/>
        </w:rPr>
        <w:t>Почему возникла необходимость перехода на новую систему оплаты труда?</w:t>
      </w:r>
    </w:p>
    <w:p w:rsidR="00D90E7A" w:rsidRPr="00C909E3" w:rsidRDefault="00D90E7A" w:rsidP="00C909E3">
      <w:pPr>
        <w:pStyle w:val="a5"/>
        <w:ind w:left="-993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C909E3">
        <w:rPr>
          <w:rFonts w:ascii="Times New Roman" w:hAnsi="Times New Roman"/>
          <w:b/>
          <w:sz w:val="28"/>
          <w:szCs w:val="28"/>
          <w:u w:val="single"/>
          <w:lang w:eastAsia="ru-RU"/>
        </w:rPr>
        <w:t>ОТВЕТ:</w:t>
      </w:r>
      <w:r w:rsidRPr="00C909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09E3">
        <w:rPr>
          <w:rFonts w:ascii="Times New Roman" w:hAnsi="Times New Roman"/>
          <w:sz w:val="28"/>
          <w:szCs w:val="28"/>
        </w:rPr>
        <w:t xml:space="preserve">В течение длительного времени труд работников образовательных учреждений оплачивался в соответствии с Единой тарифной сеткой (ЕТС). Размер оклада или ставки заработной платы каждого работника определялся в зависимости от должности (профессии), квалификационной категории. Недостатком данной системы являлось отсутствие связи между </w:t>
      </w:r>
      <w:proofErr w:type="gramStart"/>
      <w:r w:rsidRPr="00C909E3">
        <w:rPr>
          <w:rFonts w:ascii="Times New Roman" w:hAnsi="Times New Roman"/>
          <w:sz w:val="28"/>
          <w:szCs w:val="28"/>
        </w:rPr>
        <w:t>размером оплаты труда</w:t>
      </w:r>
      <w:proofErr w:type="gramEnd"/>
      <w:r w:rsidRPr="00C909E3">
        <w:rPr>
          <w:rFonts w:ascii="Times New Roman" w:hAnsi="Times New Roman"/>
          <w:sz w:val="28"/>
          <w:szCs w:val="28"/>
        </w:rPr>
        <w:t xml:space="preserve"> работника и качеством, результативностью и эффективностью его работы. Использование ЕТС не мотивирует работника к достижению высоких результатов труда, в </w:t>
      </w:r>
      <w:proofErr w:type="gramStart"/>
      <w:r w:rsidRPr="00C909E3">
        <w:rPr>
          <w:rFonts w:ascii="Times New Roman" w:hAnsi="Times New Roman"/>
          <w:sz w:val="28"/>
          <w:szCs w:val="28"/>
        </w:rPr>
        <w:t>связи</w:t>
      </w:r>
      <w:proofErr w:type="gramEnd"/>
      <w:r w:rsidRPr="00C909E3">
        <w:rPr>
          <w:rFonts w:ascii="Times New Roman" w:hAnsi="Times New Roman"/>
          <w:sz w:val="28"/>
          <w:szCs w:val="28"/>
        </w:rPr>
        <w:t xml:space="preserve"> с чем назрела необходимость перехода на иную систему оплаты труда.</w:t>
      </w:r>
      <w:r w:rsidRPr="00C909E3">
        <w:rPr>
          <w:rStyle w:val="a8"/>
          <w:rFonts w:ascii="Times New Roman" w:hAnsi="Times New Roman"/>
          <w:b/>
          <w:bCs/>
          <w:sz w:val="28"/>
          <w:szCs w:val="28"/>
        </w:rPr>
        <w:t> </w:t>
      </w:r>
    </w:p>
    <w:p w:rsidR="00D90E7A" w:rsidRPr="00C909E3" w:rsidRDefault="00D90E7A" w:rsidP="00C909E3">
      <w:pPr>
        <w:pStyle w:val="a5"/>
        <w:ind w:left="-709" w:right="-426" w:hanging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90E7A">
        <w:rPr>
          <w:rFonts w:ascii="Times New Roman" w:hAnsi="Times New Roman"/>
          <w:b/>
          <w:sz w:val="48"/>
          <w:szCs w:val="48"/>
          <w:lang w:eastAsia="ru-RU"/>
        </w:rPr>
        <w:t>?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Каково участие органов </w:t>
      </w:r>
      <w:r w:rsidRPr="00D90E7A">
        <w:rPr>
          <w:rFonts w:ascii="Times New Roman" w:hAnsi="Times New Roman"/>
          <w:b/>
          <w:sz w:val="28"/>
          <w:szCs w:val="28"/>
          <w:lang w:eastAsia="ru-RU"/>
        </w:rPr>
        <w:t xml:space="preserve"> самоуправления образовательного учреждения и профсоюзов в вопросах стимулирования работников при НСОТ?</w:t>
      </w:r>
    </w:p>
    <w:p w:rsidR="00DC2DBF" w:rsidRPr="00DC2DBF" w:rsidRDefault="00D90E7A" w:rsidP="00DC2DBF">
      <w:pPr>
        <w:spacing w:before="100" w:beforeAutospacing="1" w:after="100" w:afterAutospacing="1" w:line="240" w:lineRule="auto"/>
        <w:ind w:left="-709" w:right="-426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3D1">
        <w:rPr>
          <w:rFonts w:ascii="Times New Roman" w:hAnsi="Times New Roman"/>
          <w:b/>
          <w:sz w:val="28"/>
          <w:szCs w:val="28"/>
          <w:u w:val="single"/>
          <w:lang w:eastAsia="ru-RU"/>
        </w:rPr>
        <w:t>ОТВЕТ:</w:t>
      </w:r>
      <w:r w:rsidRPr="00692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23D1" w:rsidRPr="006923D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выплат стимулирующего характера работникам </w:t>
      </w:r>
      <w:r w:rsidR="006923D1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6923D1" w:rsidRPr="006923D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осуществляется в соответствии с коллективным договором и иными локальными актами </w:t>
      </w:r>
      <w:r w:rsidR="006923D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оплате труда </w:t>
      </w:r>
      <w:r w:rsidR="006923D1" w:rsidRPr="006923D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учреждения, принятыми с учетом мнения представительного органа работников. Данными документами устанавливаются виды, условия, размеры и порядок установления выплат стимулирующего характера, в том числе критерии оценки результативности и качества труда работников. Кроме того, данными документами может быть предусмотрено создание соответствующей комиссии (рабочей группы) регулирующей вопросы установления стимулирующих выплат работникам. </w:t>
      </w:r>
    </w:p>
    <w:p w:rsidR="002F6943" w:rsidRPr="00C909E3" w:rsidRDefault="00C909E3" w:rsidP="00C909E3">
      <w:pPr>
        <w:spacing w:before="100" w:beforeAutospacing="1" w:after="100" w:afterAutospacing="1" w:line="240" w:lineRule="auto"/>
        <w:ind w:left="-992"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9E3">
        <w:rPr>
          <w:rFonts w:ascii="Times New Roman" w:hAnsi="Times New Roman"/>
          <w:b/>
          <w:sz w:val="44"/>
          <w:szCs w:val="44"/>
        </w:rPr>
        <w:t xml:space="preserve">? </w:t>
      </w:r>
      <w:r w:rsidR="002F6943">
        <w:rPr>
          <w:rFonts w:ascii="Times New Roman" w:hAnsi="Times New Roman"/>
          <w:b/>
          <w:sz w:val="28"/>
          <w:szCs w:val="28"/>
        </w:rPr>
        <w:t>И</w:t>
      </w:r>
      <w:r w:rsidR="002F6943" w:rsidRPr="000179A5">
        <w:rPr>
          <w:rFonts w:ascii="Times New Roman" w:hAnsi="Times New Roman"/>
          <w:b/>
          <w:sz w:val="28"/>
          <w:szCs w:val="28"/>
        </w:rPr>
        <w:t>з чего состоит стимулирующая часть</w:t>
      </w:r>
      <w:r w:rsidR="002F6943">
        <w:rPr>
          <w:rFonts w:ascii="Times New Roman" w:hAnsi="Times New Roman"/>
          <w:b/>
          <w:sz w:val="28"/>
          <w:szCs w:val="28"/>
        </w:rPr>
        <w:t xml:space="preserve">  образовательного учреждения</w:t>
      </w:r>
      <w:r w:rsidR="002F6943" w:rsidRPr="000179A5">
        <w:rPr>
          <w:rFonts w:ascii="Times New Roman" w:hAnsi="Times New Roman"/>
          <w:b/>
          <w:sz w:val="28"/>
          <w:szCs w:val="28"/>
        </w:rPr>
        <w:t xml:space="preserve">? </w:t>
      </w:r>
    </w:p>
    <w:p w:rsidR="002F6943" w:rsidRPr="00C909E3" w:rsidRDefault="002F6943" w:rsidP="00C909E3">
      <w:pPr>
        <w:pStyle w:val="Style22"/>
        <w:widowControl/>
        <w:tabs>
          <w:tab w:val="left" w:pos="0"/>
          <w:tab w:val="left" w:pos="142"/>
        </w:tabs>
        <w:spacing w:line="240" w:lineRule="auto"/>
        <w:ind w:left="-709" w:right="-426" w:hanging="283"/>
        <w:rPr>
          <w:sz w:val="28"/>
          <w:szCs w:val="28"/>
        </w:rPr>
      </w:pPr>
      <w:r w:rsidRPr="00910C96">
        <w:rPr>
          <w:b/>
          <w:sz w:val="28"/>
          <w:szCs w:val="28"/>
          <w:u w:val="single"/>
        </w:rPr>
        <w:t>Ответ: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909E3">
        <w:rPr>
          <w:sz w:val="28"/>
          <w:szCs w:val="28"/>
        </w:rPr>
        <w:t>Стимулирующая часть фонда оплаты труда</w:t>
      </w:r>
      <w:r w:rsidRPr="00140564">
        <w:rPr>
          <w:b/>
          <w:sz w:val="28"/>
          <w:szCs w:val="28"/>
        </w:rPr>
        <w:t xml:space="preserve"> </w:t>
      </w:r>
      <w:r w:rsidR="00C909E3">
        <w:rPr>
          <w:b/>
          <w:sz w:val="28"/>
          <w:szCs w:val="28"/>
        </w:rPr>
        <w:t xml:space="preserve">условно </w:t>
      </w:r>
      <w:r w:rsidRPr="00140564">
        <w:rPr>
          <w:b/>
          <w:sz w:val="28"/>
          <w:szCs w:val="28"/>
        </w:rPr>
        <w:t>состоит из</w:t>
      </w:r>
      <w:r>
        <w:rPr>
          <w:b/>
          <w:sz w:val="28"/>
          <w:szCs w:val="28"/>
        </w:rPr>
        <w:t xml:space="preserve"> трёх частей</w:t>
      </w:r>
      <w:r w:rsidRPr="00140564">
        <w:rPr>
          <w:b/>
          <w:sz w:val="28"/>
          <w:szCs w:val="28"/>
        </w:rPr>
        <w:t>:</w:t>
      </w:r>
    </w:p>
    <w:p w:rsidR="002F6943" w:rsidRPr="00C909E3" w:rsidRDefault="002F6943" w:rsidP="00C909E3">
      <w:pPr>
        <w:pStyle w:val="a5"/>
        <w:numPr>
          <w:ilvl w:val="0"/>
          <w:numId w:val="6"/>
        </w:numPr>
        <w:ind w:right="-426"/>
        <w:rPr>
          <w:rFonts w:ascii="Times New Roman" w:hAnsi="Times New Roman"/>
          <w:b/>
          <w:sz w:val="28"/>
          <w:szCs w:val="28"/>
          <w:u w:val="single"/>
        </w:rPr>
      </w:pPr>
      <w:r w:rsidRPr="00C909E3">
        <w:rPr>
          <w:rFonts w:ascii="Times New Roman" w:hAnsi="Times New Roman"/>
          <w:b/>
          <w:sz w:val="28"/>
          <w:szCs w:val="28"/>
          <w:u w:val="single"/>
        </w:rPr>
        <w:t xml:space="preserve">постоянных </w:t>
      </w:r>
      <w:r w:rsidR="00C909E3">
        <w:rPr>
          <w:rFonts w:ascii="Times New Roman" w:hAnsi="Times New Roman"/>
          <w:b/>
          <w:sz w:val="28"/>
          <w:szCs w:val="28"/>
          <w:u w:val="single"/>
        </w:rPr>
        <w:t>выплат стимулирующего характера:</w:t>
      </w:r>
    </w:p>
    <w:p w:rsidR="00C909E3" w:rsidRDefault="00C909E3" w:rsidP="00C909E3">
      <w:pPr>
        <w:pStyle w:val="a5"/>
        <w:tabs>
          <w:tab w:val="left" w:pos="426"/>
        </w:tabs>
        <w:ind w:left="-992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C909E3">
        <w:rPr>
          <w:rFonts w:ascii="Times New Roman" w:hAnsi="Times New Roman"/>
          <w:sz w:val="28"/>
          <w:szCs w:val="28"/>
        </w:rPr>
        <w:t>Стимулирующие выплаты постоянного характера</w:t>
      </w:r>
      <w:r w:rsidRPr="00140564">
        <w:rPr>
          <w:rFonts w:ascii="Times New Roman" w:hAnsi="Times New Roman"/>
          <w:sz w:val="28"/>
          <w:szCs w:val="28"/>
        </w:rPr>
        <w:t xml:space="preserve"> выплачиваются работникам ежемесячно.</w:t>
      </w:r>
      <w:r w:rsidRPr="00970681">
        <w:rPr>
          <w:color w:val="FF0000"/>
          <w:sz w:val="28"/>
          <w:szCs w:val="28"/>
        </w:rPr>
        <w:t xml:space="preserve"> </w:t>
      </w:r>
      <w:r w:rsidRPr="00970681">
        <w:rPr>
          <w:rFonts w:ascii="Times New Roman" w:hAnsi="Times New Roman"/>
          <w:sz w:val="28"/>
          <w:szCs w:val="28"/>
        </w:rPr>
        <w:t>Размеры стимулирующих выплат постоянного характера</w:t>
      </w:r>
      <w:r>
        <w:rPr>
          <w:rFonts w:ascii="Times New Roman" w:hAnsi="Times New Roman"/>
          <w:sz w:val="28"/>
          <w:szCs w:val="28"/>
        </w:rPr>
        <w:t>, установленные  руководителем образовательного учреждения</w:t>
      </w:r>
      <w:r w:rsidRPr="00970681">
        <w:rPr>
          <w:rFonts w:ascii="Times New Roman" w:hAnsi="Times New Roman"/>
          <w:sz w:val="28"/>
          <w:szCs w:val="28"/>
        </w:rPr>
        <w:t xml:space="preserve"> по согласованию с профсоюзным комитетом, утверждаются приказом на учебный год и  фиксируются в трудовом договоре или в дополнительном соглашении  к трудовому договору работника.</w:t>
      </w:r>
    </w:p>
    <w:p w:rsidR="00C909E3" w:rsidRDefault="00C909E3" w:rsidP="00C909E3">
      <w:pPr>
        <w:pStyle w:val="a5"/>
        <w:tabs>
          <w:tab w:val="left" w:pos="426"/>
        </w:tabs>
        <w:ind w:left="-992" w:right="-426"/>
        <w:jc w:val="both"/>
        <w:rPr>
          <w:rFonts w:ascii="Times New Roman" w:hAnsi="Times New Roman"/>
          <w:sz w:val="28"/>
          <w:szCs w:val="28"/>
        </w:rPr>
      </w:pPr>
    </w:p>
    <w:p w:rsidR="00C909E3" w:rsidRPr="00DC2DBF" w:rsidRDefault="00C909E3" w:rsidP="00C909E3">
      <w:pPr>
        <w:pStyle w:val="a5"/>
        <w:ind w:left="-709" w:right="-426" w:hanging="283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DC2DBF">
        <w:rPr>
          <w:rFonts w:ascii="Times New Roman" w:hAnsi="Times New Roman"/>
          <w:i/>
          <w:sz w:val="28"/>
          <w:szCs w:val="28"/>
          <w:u w:val="single"/>
        </w:rPr>
        <w:t>К стимулирующим выплатам постоянного характера относятся:</w:t>
      </w:r>
    </w:p>
    <w:p w:rsid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r w:rsidRPr="00970681">
        <w:rPr>
          <w:rFonts w:ascii="Times New Roman" w:hAnsi="Times New Roman"/>
          <w:sz w:val="28"/>
          <w:szCs w:val="28"/>
        </w:rPr>
        <w:t>повышающие коэффициенты за ученую степень кандидата (доктора наук) или почетное звание;</w:t>
      </w:r>
    </w:p>
    <w:p w:rsid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r w:rsidRPr="00DC2DBF">
        <w:rPr>
          <w:rFonts w:ascii="Times New Roman" w:hAnsi="Times New Roman"/>
          <w:sz w:val="28"/>
          <w:szCs w:val="28"/>
        </w:rPr>
        <w:t>за стаж работы (если предусмотрены локальными актами образовательного учреждения;</w:t>
      </w:r>
    </w:p>
    <w:p w:rsid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r w:rsidRPr="00DC2DBF">
        <w:rPr>
          <w:rFonts w:ascii="Times New Roman" w:hAnsi="Times New Roman"/>
          <w:sz w:val="28"/>
          <w:szCs w:val="28"/>
        </w:rPr>
        <w:t xml:space="preserve">доплаты до минимального </w:t>
      </w:r>
      <w:proofErr w:type="gramStart"/>
      <w:r w:rsidRPr="00DC2DBF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DC2DBF">
        <w:rPr>
          <w:rFonts w:ascii="Times New Roman" w:hAnsi="Times New Roman"/>
          <w:sz w:val="28"/>
          <w:szCs w:val="28"/>
        </w:rPr>
        <w:t xml:space="preserve"> (МРОТ);</w:t>
      </w:r>
    </w:p>
    <w:p w:rsid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r w:rsidRPr="00DC2DBF">
        <w:rPr>
          <w:rFonts w:ascii="Times New Roman" w:hAnsi="Times New Roman"/>
          <w:sz w:val="28"/>
          <w:szCs w:val="28"/>
        </w:rPr>
        <w:t xml:space="preserve">персональные повышающие коэффициенты; </w:t>
      </w:r>
    </w:p>
    <w:p w:rsid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r w:rsidRPr="00DC2DBF">
        <w:rPr>
          <w:rFonts w:ascii="Times New Roman" w:hAnsi="Times New Roman"/>
          <w:sz w:val="28"/>
          <w:szCs w:val="28"/>
        </w:rPr>
        <w:t>за дополнительные виды работ;</w:t>
      </w:r>
    </w:p>
    <w:p w:rsid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2DBF">
        <w:rPr>
          <w:rFonts w:ascii="Times New Roman" w:hAnsi="Times New Roman"/>
          <w:sz w:val="28"/>
          <w:szCs w:val="28"/>
        </w:rPr>
        <w:t>выпускникам учреждений среднего и высшего профессионального образования,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образования, к минимальному окладу, ставке заработной платы</w:t>
      </w:r>
      <w:r w:rsidR="00DC2DBF" w:rsidRPr="00DC2DBF">
        <w:rPr>
          <w:rFonts w:ascii="Times New Roman" w:hAnsi="Times New Roman"/>
          <w:sz w:val="28"/>
          <w:szCs w:val="28"/>
        </w:rPr>
        <w:t xml:space="preserve">, к  </w:t>
      </w:r>
      <w:r w:rsidR="00DC2DBF" w:rsidRPr="00DC2DBF">
        <w:rPr>
          <w:rFonts w:ascii="Times New Roman" w:hAnsi="Times New Roman"/>
          <w:bCs/>
          <w:sz w:val="28"/>
          <w:szCs w:val="28"/>
        </w:rPr>
        <w:t>стандартной стоимости бюджетной образовательной услуги</w:t>
      </w:r>
      <w:r w:rsidR="00DC2DBF" w:rsidRPr="00DC2DBF">
        <w:rPr>
          <w:rFonts w:ascii="Times New Roman" w:hAnsi="Times New Roman"/>
          <w:sz w:val="28"/>
          <w:szCs w:val="28"/>
        </w:rPr>
        <w:t xml:space="preserve">,  </w:t>
      </w:r>
      <w:r w:rsidRPr="00DC2DBF">
        <w:rPr>
          <w:rFonts w:ascii="Times New Roman" w:hAnsi="Times New Roman"/>
          <w:sz w:val="28"/>
          <w:szCs w:val="28"/>
        </w:rPr>
        <w:t>устанавливается стимулирующая выплата в размере 20 %, а также все иные выплаты и повышения заработной платы, предусмотренные действующей в дошкольном образовательном учреждении</w:t>
      </w:r>
      <w:proofErr w:type="gramEnd"/>
      <w:r w:rsidRPr="00DC2DBF">
        <w:rPr>
          <w:rFonts w:ascii="Times New Roman" w:hAnsi="Times New Roman"/>
          <w:sz w:val="28"/>
          <w:szCs w:val="28"/>
        </w:rPr>
        <w:t xml:space="preserve"> системой оплаты труда за первую квалификационную категорию, сроком на два года;</w:t>
      </w:r>
    </w:p>
    <w:p w:rsid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2DBF">
        <w:rPr>
          <w:rFonts w:ascii="Times New Roman" w:hAnsi="Times New Roman"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 w:rsidRPr="00DC2DBF">
        <w:rPr>
          <w:rFonts w:ascii="Times New Roman" w:hAnsi="Times New Roman"/>
          <w:bCs/>
          <w:sz w:val="28"/>
          <w:szCs w:val="28"/>
        </w:rPr>
        <w:t xml:space="preserve">минимальному окладу, ставке заработной платы, </w:t>
      </w:r>
      <w:r w:rsidR="00DC2DBF" w:rsidRPr="00DC2DBF">
        <w:rPr>
          <w:rFonts w:ascii="Times New Roman" w:hAnsi="Times New Roman"/>
          <w:sz w:val="28"/>
          <w:szCs w:val="28"/>
        </w:rPr>
        <w:t xml:space="preserve">к  </w:t>
      </w:r>
      <w:r w:rsidR="00DC2DBF" w:rsidRPr="00DC2DBF">
        <w:rPr>
          <w:rFonts w:ascii="Times New Roman" w:hAnsi="Times New Roman"/>
          <w:bCs/>
          <w:sz w:val="28"/>
          <w:szCs w:val="28"/>
        </w:rPr>
        <w:t>стандартной стоимости бюджетной образовательной услуги</w:t>
      </w:r>
      <w:r w:rsidR="00DC2DBF" w:rsidRPr="00DC2DBF">
        <w:rPr>
          <w:rFonts w:ascii="Times New Roman" w:hAnsi="Times New Roman"/>
          <w:sz w:val="28"/>
          <w:szCs w:val="28"/>
        </w:rPr>
        <w:t xml:space="preserve">,  </w:t>
      </w:r>
      <w:r w:rsidRPr="00DC2DBF"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 w:rsidRPr="00DC2DBF">
        <w:rPr>
          <w:rFonts w:ascii="Times New Roman" w:hAnsi="Times New Roman"/>
          <w:bCs/>
          <w:sz w:val="28"/>
          <w:szCs w:val="28"/>
        </w:rPr>
        <w:t xml:space="preserve">, а также все </w:t>
      </w:r>
      <w:r w:rsidRPr="00DC2DBF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дошкольном образовательном учреждении системой оплаты труда за</w:t>
      </w:r>
      <w:proofErr w:type="gramEnd"/>
      <w:r w:rsidRPr="00DC2DBF">
        <w:rPr>
          <w:rFonts w:ascii="Times New Roman" w:hAnsi="Times New Roman"/>
          <w:sz w:val="28"/>
          <w:szCs w:val="28"/>
        </w:rPr>
        <w:t xml:space="preserve"> соответствующую квалификационную категорию, до достижения ими пенсионного возраста;</w:t>
      </w:r>
    </w:p>
    <w:p w:rsidR="00C909E3" w:rsidRPr="00DC2DBF" w:rsidRDefault="00C909E3" w:rsidP="00DC2DBF">
      <w:pPr>
        <w:pStyle w:val="a5"/>
        <w:numPr>
          <w:ilvl w:val="0"/>
          <w:numId w:val="7"/>
        </w:numPr>
        <w:ind w:left="-980" w:right="-426" w:hanging="13"/>
        <w:jc w:val="both"/>
        <w:rPr>
          <w:rFonts w:ascii="Times New Roman" w:hAnsi="Times New Roman"/>
          <w:sz w:val="28"/>
          <w:szCs w:val="28"/>
        </w:rPr>
      </w:pPr>
      <w:r w:rsidRPr="00DC2DBF">
        <w:rPr>
          <w:rFonts w:ascii="Times New Roman" w:hAnsi="Times New Roman"/>
          <w:sz w:val="28"/>
          <w:szCs w:val="28"/>
        </w:rPr>
        <w:t>и т.д.</w:t>
      </w:r>
    </w:p>
    <w:p w:rsidR="00DC2DBF" w:rsidRDefault="002F6943" w:rsidP="00DC2DBF">
      <w:pPr>
        <w:pStyle w:val="a5"/>
        <w:ind w:left="-709" w:right="-426" w:hanging="28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C2DBF">
        <w:rPr>
          <w:rFonts w:ascii="Times New Roman" w:hAnsi="Times New Roman"/>
          <w:b/>
          <w:sz w:val="28"/>
          <w:szCs w:val="28"/>
        </w:rPr>
        <w:t>2)</w:t>
      </w:r>
      <w:r w:rsidRPr="00140564">
        <w:rPr>
          <w:rFonts w:ascii="Times New Roman" w:hAnsi="Times New Roman"/>
          <w:sz w:val="28"/>
          <w:szCs w:val="28"/>
        </w:rPr>
        <w:t xml:space="preserve"> </w:t>
      </w:r>
      <w:r w:rsidRPr="00DC2DBF">
        <w:rPr>
          <w:rFonts w:ascii="Times New Roman" w:hAnsi="Times New Roman"/>
          <w:b/>
          <w:sz w:val="28"/>
          <w:szCs w:val="28"/>
          <w:u w:val="single"/>
        </w:rPr>
        <w:t>непостоянных выплат стимулирующего характера (</w:t>
      </w:r>
      <w:r w:rsidR="00DC2DBF">
        <w:rPr>
          <w:rFonts w:ascii="Times New Roman" w:hAnsi="Times New Roman"/>
          <w:b/>
          <w:sz w:val="28"/>
          <w:szCs w:val="28"/>
          <w:u w:val="single"/>
        </w:rPr>
        <w:t>премии за качественные  результаты труда);</w:t>
      </w:r>
    </w:p>
    <w:p w:rsidR="002F6943" w:rsidRPr="00DC2DBF" w:rsidRDefault="002F6943" w:rsidP="00DC2DBF">
      <w:pPr>
        <w:pStyle w:val="a5"/>
        <w:ind w:left="-709" w:right="-426" w:hanging="28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C2DBF">
        <w:rPr>
          <w:rFonts w:ascii="Times New Roman" w:hAnsi="Times New Roman"/>
          <w:b/>
          <w:sz w:val="28"/>
          <w:szCs w:val="28"/>
        </w:rPr>
        <w:t>3)</w:t>
      </w:r>
      <w:r w:rsidRPr="00DC2DBF">
        <w:rPr>
          <w:rFonts w:ascii="Times New Roman" w:hAnsi="Times New Roman"/>
          <w:b/>
          <w:sz w:val="28"/>
          <w:szCs w:val="28"/>
          <w:u w:val="single"/>
        </w:rPr>
        <w:t xml:space="preserve"> премиальных выплат (из ф</w:t>
      </w:r>
      <w:r w:rsidR="00DC2DBF">
        <w:rPr>
          <w:rFonts w:ascii="Times New Roman" w:hAnsi="Times New Roman"/>
          <w:b/>
          <w:sz w:val="28"/>
          <w:szCs w:val="28"/>
          <w:u w:val="single"/>
        </w:rPr>
        <w:t>онда экономии заработной платы):</w:t>
      </w:r>
    </w:p>
    <w:p w:rsidR="007E1CC5" w:rsidRDefault="00DC2DBF" w:rsidP="00DC2DBF">
      <w:pPr>
        <w:pStyle w:val="a5"/>
        <w:ind w:left="-709" w:right="-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F6943" w:rsidRPr="000179A5">
        <w:rPr>
          <w:rFonts w:ascii="Times New Roman" w:hAnsi="Times New Roman"/>
          <w:b/>
          <w:sz w:val="28"/>
          <w:szCs w:val="28"/>
        </w:rPr>
        <w:t>При наличии фонда экономии заработной платы</w:t>
      </w:r>
      <w:r w:rsidR="002F6943" w:rsidRPr="00017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итогам календарного года,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дошкольного работника, к</w:t>
      </w:r>
      <w:r w:rsidR="002F6943" w:rsidRPr="000179A5">
        <w:rPr>
          <w:rFonts w:ascii="Times New Roman" w:hAnsi="Times New Roman"/>
          <w:sz w:val="28"/>
          <w:szCs w:val="28"/>
        </w:rPr>
        <w:t xml:space="preserve"> Дню Учителя, по итогам учебного года, </w:t>
      </w:r>
      <w:r>
        <w:rPr>
          <w:rFonts w:ascii="Times New Roman" w:hAnsi="Times New Roman"/>
          <w:sz w:val="28"/>
          <w:szCs w:val="28"/>
        </w:rPr>
        <w:t>квартала</w:t>
      </w:r>
      <w:r w:rsidR="007E1CC5">
        <w:rPr>
          <w:rFonts w:ascii="Times New Roman" w:hAnsi="Times New Roman"/>
          <w:sz w:val="28"/>
          <w:szCs w:val="28"/>
        </w:rPr>
        <w:t xml:space="preserve"> и т.д.</w:t>
      </w:r>
      <w:r>
        <w:rPr>
          <w:rFonts w:ascii="Times New Roman" w:hAnsi="Times New Roman"/>
          <w:sz w:val="28"/>
          <w:szCs w:val="28"/>
        </w:rPr>
        <w:t xml:space="preserve">,  работники </w:t>
      </w:r>
      <w:r w:rsidR="002F6943" w:rsidRPr="000179A5">
        <w:rPr>
          <w:rFonts w:ascii="Times New Roman" w:hAnsi="Times New Roman"/>
          <w:sz w:val="28"/>
          <w:szCs w:val="28"/>
        </w:rPr>
        <w:t xml:space="preserve"> образовательного учреждения </w:t>
      </w:r>
      <w:r w:rsidR="002F6943" w:rsidRPr="000179A5">
        <w:rPr>
          <w:rFonts w:ascii="Times New Roman" w:hAnsi="Times New Roman"/>
          <w:b/>
          <w:sz w:val="28"/>
          <w:szCs w:val="28"/>
        </w:rPr>
        <w:t>могут быть премированы</w:t>
      </w:r>
      <w:r w:rsidR="002F6943" w:rsidRPr="000179A5">
        <w:rPr>
          <w:rFonts w:ascii="Times New Roman" w:hAnsi="Times New Roman"/>
          <w:sz w:val="28"/>
          <w:szCs w:val="28"/>
        </w:rPr>
        <w:t>. Размер премий</w:t>
      </w:r>
      <w:r w:rsidR="002F6943">
        <w:rPr>
          <w:rFonts w:ascii="Times New Roman" w:hAnsi="Times New Roman"/>
          <w:sz w:val="28"/>
          <w:szCs w:val="28"/>
        </w:rPr>
        <w:t xml:space="preserve"> определяется  по каждому работнику персонально.</w:t>
      </w:r>
      <w:r w:rsidR="007E1CC5" w:rsidRPr="007E1CC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F6943" w:rsidRPr="007E1CC5" w:rsidRDefault="007E1CC5" w:rsidP="00DC2DBF">
      <w:pPr>
        <w:pStyle w:val="a5"/>
        <w:ind w:left="-709"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E1CC5">
        <w:rPr>
          <w:rFonts w:ascii="Times New Roman" w:hAnsi="Times New Roman"/>
          <w:sz w:val="28"/>
          <w:szCs w:val="28"/>
        </w:rPr>
        <w:t>А также работники могут быть премированы в связи  юбилейными датами (50, 55, 60, 65, 70 лет со дня рождения)</w:t>
      </w:r>
      <w:r>
        <w:rPr>
          <w:rFonts w:ascii="Times New Roman" w:hAnsi="Times New Roman"/>
          <w:sz w:val="28"/>
          <w:szCs w:val="28"/>
        </w:rPr>
        <w:t>, если это закреплено в коллективном договоре образовательного учреждения.</w:t>
      </w:r>
    </w:p>
    <w:p w:rsidR="002F6943" w:rsidRPr="00D90E7A" w:rsidRDefault="002F6943" w:rsidP="002F6943">
      <w:pPr>
        <w:pStyle w:val="a5"/>
        <w:ind w:left="-709" w:right="-426" w:hanging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90E7A">
        <w:rPr>
          <w:rFonts w:ascii="Times New Roman" w:hAnsi="Times New Roman"/>
          <w:b/>
          <w:sz w:val="48"/>
          <w:szCs w:val="48"/>
          <w:lang w:eastAsia="ru-RU"/>
        </w:rPr>
        <w:t>?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Положение о распределении стимулирующей части фонда оплаты труда внесён пу</w:t>
      </w:r>
      <w:r w:rsidR="002E5A50">
        <w:rPr>
          <w:rFonts w:ascii="Times New Roman" w:hAnsi="Times New Roman"/>
          <w:b/>
          <w:sz w:val="28"/>
          <w:szCs w:val="28"/>
          <w:lang w:eastAsia="ru-RU"/>
        </w:rPr>
        <w:t>н</w:t>
      </w:r>
      <w:r>
        <w:rPr>
          <w:rFonts w:ascii="Times New Roman" w:hAnsi="Times New Roman"/>
          <w:b/>
          <w:sz w:val="28"/>
          <w:szCs w:val="28"/>
          <w:lang w:eastAsia="ru-RU"/>
        </w:rPr>
        <w:t>кт о том, что в случае производственной необходимости руководитель образовательного учреждения имеет право снимать с работников, не выполняющих в полном объёме свои должностные обязанности</w:t>
      </w:r>
      <w:r w:rsidR="002E5A50">
        <w:rPr>
          <w:rFonts w:ascii="Times New Roman" w:hAnsi="Times New Roman"/>
          <w:b/>
          <w:sz w:val="28"/>
          <w:szCs w:val="28"/>
          <w:lang w:eastAsia="ru-RU"/>
        </w:rPr>
        <w:t xml:space="preserve"> (закреплённые в должностной инструкции), стимулирующие выплаты</w:t>
      </w:r>
      <w:r w:rsidRPr="00D90E7A">
        <w:rPr>
          <w:rFonts w:ascii="Times New Roman" w:hAnsi="Times New Roman"/>
          <w:b/>
          <w:sz w:val="28"/>
          <w:szCs w:val="28"/>
          <w:lang w:eastAsia="ru-RU"/>
        </w:rPr>
        <w:t>?</w:t>
      </w:r>
    </w:p>
    <w:p w:rsidR="002F6943" w:rsidRDefault="002E5A50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23D1">
        <w:rPr>
          <w:rFonts w:ascii="Times New Roman" w:hAnsi="Times New Roman"/>
          <w:b/>
          <w:sz w:val="28"/>
          <w:szCs w:val="28"/>
          <w:u w:val="single"/>
          <w:lang w:eastAsia="ru-RU"/>
        </w:rPr>
        <w:t>ОТВЕТ</w:t>
      </w:r>
      <w:r w:rsidRPr="002E5A50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2E5A50">
        <w:rPr>
          <w:rFonts w:ascii="Times New Roman" w:hAnsi="Times New Roman"/>
          <w:sz w:val="28"/>
          <w:szCs w:val="28"/>
          <w:lang w:eastAsia="ru-RU"/>
        </w:rPr>
        <w:t xml:space="preserve">понятия «производственная необходимость» нет в трудовом законодательстве. Лишение работника выплат  стимулирующего характера (депримирование) не допускается. </w:t>
      </w:r>
      <w:r w:rsidRPr="002E5A50">
        <w:rPr>
          <w:rFonts w:ascii="Times New Roman" w:hAnsi="Times New Roman"/>
          <w:b/>
          <w:sz w:val="28"/>
          <w:szCs w:val="28"/>
          <w:lang w:eastAsia="ru-RU"/>
        </w:rPr>
        <w:t>При условии выполнения не всех показателей стимулирования премия может быть уменьшена.</w:t>
      </w:r>
    </w:p>
    <w:p w:rsidR="00347DEB" w:rsidRDefault="00347DEB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47DEB" w:rsidRDefault="00347DEB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28"/>
          <w:szCs w:val="28"/>
        </w:rPr>
      </w:pPr>
      <w:r w:rsidRPr="00347DEB">
        <w:rPr>
          <w:rFonts w:ascii="Times New Roman" w:hAnsi="Times New Roman"/>
          <w:b/>
          <w:sz w:val="44"/>
          <w:szCs w:val="44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DEB">
        <w:rPr>
          <w:rFonts w:ascii="Times New Roman" w:hAnsi="Times New Roman"/>
          <w:b/>
          <w:sz w:val="28"/>
          <w:szCs w:val="28"/>
        </w:rPr>
        <w:t>На работника образовательного учреждения наложили дисциплинарное взыскание и одновременно с этим лишили выплат стимулирующего характера. Допустимо ли это?</w:t>
      </w:r>
    </w:p>
    <w:p w:rsidR="00347DEB" w:rsidRPr="00347DEB" w:rsidRDefault="00347DEB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16"/>
          <w:szCs w:val="16"/>
        </w:rPr>
      </w:pPr>
    </w:p>
    <w:p w:rsidR="00347DEB" w:rsidRDefault="00347DEB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3D1">
        <w:rPr>
          <w:rFonts w:ascii="Times New Roman" w:hAnsi="Times New Roman"/>
          <w:b/>
          <w:sz w:val="28"/>
          <w:szCs w:val="28"/>
          <w:u w:val="single"/>
          <w:lang w:eastAsia="ru-RU"/>
        </w:rPr>
        <w:t>ОТВЕТ</w:t>
      </w:r>
      <w:r w:rsidRPr="002E5A50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47DEB">
        <w:rPr>
          <w:rFonts w:ascii="Times New Roman" w:hAnsi="Times New Roman"/>
          <w:sz w:val="28"/>
          <w:szCs w:val="28"/>
          <w:lang w:eastAsia="ru-RU"/>
        </w:rPr>
        <w:t>недопустимо применение нескольких дисциплинарных взысканий за один дисциплинарный проступок и недопустимо лишать выплат стимулирующего характера.</w:t>
      </w:r>
    </w:p>
    <w:p w:rsidR="00347DEB" w:rsidRDefault="00347DEB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DE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В ст. 192 ТК РФ сказано, что з</w:t>
      </w:r>
      <w:r w:rsidRPr="00347DEB">
        <w:rPr>
          <w:rFonts w:ascii="Times New Roman" w:hAnsi="Times New Roman"/>
          <w:sz w:val="28"/>
          <w:szCs w:val="28"/>
          <w:lang w:eastAsia="ru-RU"/>
        </w:rPr>
        <w:t>а совершение дисциплинарного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замечание, выговор, увольнение по </w:t>
      </w:r>
      <w:r w:rsidR="005F690C">
        <w:rPr>
          <w:rFonts w:ascii="Times New Roman" w:hAnsi="Times New Roman"/>
          <w:sz w:val="28"/>
          <w:szCs w:val="28"/>
          <w:lang w:eastAsia="ru-RU"/>
        </w:rPr>
        <w:t>соответствующим</w:t>
      </w:r>
      <w:r>
        <w:rPr>
          <w:rFonts w:ascii="Times New Roman" w:hAnsi="Times New Roman"/>
          <w:sz w:val="28"/>
          <w:szCs w:val="28"/>
          <w:lang w:eastAsia="ru-RU"/>
        </w:rPr>
        <w:t xml:space="preserve"> основаниям.</w:t>
      </w:r>
    </w:p>
    <w:p w:rsidR="005F690C" w:rsidRDefault="005F690C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690C">
        <w:rPr>
          <w:rFonts w:ascii="Times New Roman" w:hAnsi="Times New Roman"/>
          <w:b/>
          <w:sz w:val="44"/>
          <w:szCs w:val="44"/>
          <w:lang w:eastAsia="ru-RU"/>
        </w:rPr>
        <w:t xml:space="preserve">? </w:t>
      </w:r>
      <w:r w:rsidRPr="005F690C">
        <w:rPr>
          <w:rFonts w:ascii="Times New Roman" w:hAnsi="Times New Roman"/>
          <w:b/>
          <w:sz w:val="28"/>
          <w:szCs w:val="28"/>
          <w:lang w:eastAsia="ru-RU"/>
        </w:rPr>
        <w:t>В Положении о распределении выплат стимулирующего характера работникам образовательного учреждения имеется пункт следующего содержания:  «Выплаты стимулирующего характера педагогическим работникам производятся за: …..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F690C">
        <w:rPr>
          <w:rFonts w:ascii="Times New Roman" w:hAnsi="Times New Roman"/>
          <w:b/>
          <w:sz w:val="28"/>
          <w:szCs w:val="28"/>
          <w:lang w:eastAsia="ru-RU"/>
        </w:rPr>
        <w:t>проверку тетрадей; за заведование кабинетом…» Допустимо ли это?</w:t>
      </w:r>
    </w:p>
    <w:p w:rsidR="005F690C" w:rsidRPr="005F690C" w:rsidRDefault="005F690C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F690C" w:rsidRDefault="005F690C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9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923D1">
        <w:rPr>
          <w:rFonts w:ascii="Times New Roman" w:hAnsi="Times New Roman"/>
          <w:b/>
          <w:sz w:val="28"/>
          <w:szCs w:val="28"/>
          <w:u w:val="single"/>
          <w:lang w:eastAsia="ru-RU"/>
        </w:rPr>
        <w:t>ОТВЕТ</w:t>
      </w:r>
      <w:r w:rsidRPr="002E5A50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F690C">
        <w:rPr>
          <w:rFonts w:ascii="Times New Roman" w:hAnsi="Times New Roman"/>
          <w:sz w:val="28"/>
          <w:szCs w:val="28"/>
          <w:lang w:eastAsia="ru-RU"/>
        </w:rPr>
        <w:t>недопустимо, т.к. указанные выплаты устанавливаются за выполнение дополнительных видов работ и носят компенсационный характер.</w:t>
      </w:r>
    </w:p>
    <w:p w:rsidR="005F690C" w:rsidRDefault="005F690C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28"/>
          <w:szCs w:val="28"/>
        </w:rPr>
      </w:pPr>
      <w:r w:rsidRPr="005F690C">
        <w:rPr>
          <w:rFonts w:ascii="Times New Roman" w:hAnsi="Times New Roman"/>
          <w:b/>
          <w:sz w:val="44"/>
          <w:szCs w:val="44"/>
          <w:lang w:eastAsia="ru-RU"/>
        </w:rPr>
        <w:t>?</w:t>
      </w:r>
      <w:r w:rsidRPr="005F690C">
        <w:rPr>
          <w:rFonts w:ascii="Times New Roman" w:hAnsi="Times New Roman"/>
          <w:sz w:val="44"/>
          <w:szCs w:val="44"/>
        </w:rPr>
        <w:t xml:space="preserve"> </w:t>
      </w:r>
      <w:r w:rsidRPr="005F690C">
        <w:rPr>
          <w:rFonts w:ascii="Times New Roman" w:hAnsi="Times New Roman"/>
          <w:b/>
          <w:sz w:val="28"/>
          <w:szCs w:val="28"/>
        </w:rPr>
        <w:t xml:space="preserve">Решение комиссии по распределению стимулирующих выплат и приказ руководителя образовательного учреждения должны быть доведены полностью до всех членов коллектива. Однако в коллективе образовательного учреждения с таким положением не </w:t>
      </w:r>
      <w:proofErr w:type="gramStart"/>
      <w:r w:rsidRPr="005F690C">
        <w:rPr>
          <w:rFonts w:ascii="Times New Roman" w:hAnsi="Times New Roman"/>
          <w:b/>
          <w:sz w:val="28"/>
          <w:szCs w:val="28"/>
        </w:rPr>
        <w:t>согласны</w:t>
      </w:r>
      <w:proofErr w:type="gramEnd"/>
      <w:r w:rsidRPr="005F690C">
        <w:rPr>
          <w:rFonts w:ascii="Times New Roman" w:hAnsi="Times New Roman"/>
          <w:b/>
          <w:sz w:val="28"/>
          <w:szCs w:val="28"/>
        </w:rPr>
        <w:t>. Законно ли это?</w:t>
      </w:r>
    </w:p>
    <w:p w:rsidR="005F690C" w:rsidRDefault="005F690C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b/>
          <w:sz w:val="28"/>
          <w:szCs w:val="28"/>
        </w:rPr>
      </w:pPr>
    </w:p>
    <w:p w:rsidR="005F690C" w:rsidRPr="005F690C" w:rsidRDefault="005F690C" w:rsidP="002F6943">
      <w:pPr>
        <w:pStyle w:val="a9"/>
        <w:spacing w:before="100" w:beforeAutospacing="1" w:after="100" w:afterAutospacing="1"/>
        <w:ind w:left="-709" w:right="-426" w:hanging="283"/>
        <w:jc w:val="both"/>
        <w:rPr>
          <w:rFonts w:ascii="Times New Roman" w:hAnsi="Times New Roman"/>
          <w:sz w:val="28"/>
          <w:szCs w:val="28"/>
        </w:rPr>
      </w:pPr>
      <w:r w:rsidRPr="006923D1">
        <w:rPr>
          <w:rFonts w:ascii="Times New Roman" w:hAnsi="Times New Roman"/>
          <w:b/>
          <w:sz w:val="28"/>
          <w:szCs w:val="28"/>
          <w:u w:val="single"/>
          <w:lang w:eastAsia="ru-RU"/>
        </w:rPr>
        <w:t>ОТВЕТ</w:t>
      </w:r>
      <w:r w:rsidRPr="002E5A50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F690C">
        <w:rPr>
          <w:rFonts w:ascii="Times New Roman" w:hAnsi="Times New Roman"/>
          <w:sz w:val="28"/>
          <w:szCs w:val="28"/>
          <w:lang w:eastAsia="ru-RU"/>
        </w:rPr>
        <w:t>нет, т.</w:t>
      </w:r>
      <w:r w:rsidRPr="005F690C">
        <w:rPr>
          <w:rFonts w:ascii="Times New Roman" w:hAnsi="Times New Roman"/>
          <w:sz w:val="28"/>
          <w:szCs w:val="28"/>
        </w:rPr>
        <w:t>к. это противоречит нормам законодательства о защите персональных данных.</w:t>
      </w:r>
    </w:p>
    <w:p w:rsidR="00DC5BC4" w:rsidRPr="00234D27" w:rsidRDefault="00DC5BC4" w:rsidP="00DC5BC4">
      <w:pPr>
        <w:spacing w:before="105" w:after="105" w:line="240" w:lineRule="auto"/>
        <w:ind w:left="-709" w:hanging="284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DC5BC4">
        <w:rPr>
          <w:rFonts w:ascii="Times New Roman" w:eastAsia="Times New Roman" w:hAnsi="Times New Roman"/>
          <w:b/>
          <w:bCs/>
          <w:kern w:val="36"/>
          <w:sz w:val="44"/>
          <w:szCs w:val="44"/>
          <w:lang w:eastAsia="ru-RU"/>
        </w:rPr>
        <w:t>?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DC5BC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</w:t>
      </w:r>
      <w:r w:rsidRPr="00234D2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 основании чего у меня могут снять стимулирующий бал? Законно ли это, если меня не поставили в известность и не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ознакомили с приказом?</w:t>
      </w:r>
    </w:p>
    <w:p w:rsidR="00DC5BC4" w:rsidRDefault="00DC5BC4" w:rsidP="00DC5BC4">
      <w:pPr>
        <w:spacing w:before="105" w:after="105" w:line="240" w:lineRule="auto"/>
        <w:ind w:left="-709" w:hanging="284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6923D1">
        <w:rPr>
          <w:rFonts w:ascii="Times New Roman" w:hAnsi="Times New Roman"/>
          <w:b/>
          <w:sz w:val="28"/>
          <w:szCs w:val="28"/>
          <w:u w:val="single"/>
          <w:lang w:eastAsia="ru-RU"/>
        </w:rPr>
        <w:t>ОТВЕТ</w:t>
      </w:r>
      <w:r w:rsidRPr="002E5A50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DC5B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Стимулирующий балл может быть не начислен в случае невыполнения показателя стимулирования.</w:t>
      </w:r>
    </w:p>
    <w:p w:rsidR="00DC5BC4" w:rsidRDefault="00DC5BC4" w:rsidP="00DC5BC4">
      <w:pPr>
        <w:spacing w:before="105" w:after="105" w:line="240" w:lineRule="auto"/>
        <w:ind w:left="-709" w:hanging="284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Снятие или уменьшение стимулирующих баллов и, как следствие, уменьшение размера стимулирующих выплат при выполнении показателей стимулирования законодательством не предусмотрено</w:t>
      </w:r>
    </w:p>
    <w:p w:rsidR="00D90E7A" w:rsidRPr="007E1CC5" w:rsidRDefault="00DC5BC4" w:rsidP="007E1CC5">
      <w:pPr>
        <w:spacing w:before="105" w:after="105" w:line="240" w:lineRule="auto"/>
        <w:ind w:left="-709" w:hanging="284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Распределение стимулирующих выплат должно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производиться в соответствии с П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оложением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об оплате труда работников образовательного учреждения или Положением о распределении стимулирующей части фонда оплаты труда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комиссией по стимулированию (премиальной комиссией). На основании р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ешения комиссии руководителем образовательного учреждения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издается приказ. С данным приказом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«О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размерах выплат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стимулирующего характера</w:t>
      </w:r>
      <w:r w:rsidRPr="00DC5B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работникам образовательного учреждения» </w:t>
      </w:r>
      <w:r w:rsidRPr="00234D2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234D2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каждый работник должен быть ознакомлен под роспись</w:t>
      </w:r>
      <w:r w:rsidR="007E1CC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.</w:t>
      </w:r>
      <w:r w:rsidR="007E1CC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90E7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sectPr w:rsidR="00D90E7A" w:rsidRPr="007E1CC5" w:rsidSect="002F69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7A0C"/>
    <w:multiLevelType w:val="hybridMultilevel"/>
    <w:tmpl w:val="CD723A1C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C85162B"/>
    <w:multiLevelType w:val="hybridMultilevel"/>
    <w:tmpl w:val="C2AE0BE2"/>
    <w:lvl w:ilvl="0" w:tplc="04190005">
      <w:start w:val="1"/>
      <w:numFmt w:val="bullet"/>
      <w:lvlText w:val=""/>
      <w:lvlJc w:val="left"/>
      <w:pPr>
        <w:ind w:left="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>
    <w:nsid w:val="3B3F2DF3"/>
    <w:multiLevelType w:val="hybridMultilevel"/>
    <w:tmpl w:val="1FAEC4E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69F7521"/>
    <w:multiLevelType w:val="hybridMultilevel"/>
    <w:tmpl w:val="AE5EC576"/>
    <w:lvl w:ilvl="0" w:tplc="0419000B">
      <w:start w:val="1"/>
      <w:numFmt w:val="bullet"/>
      <w:lvlText w:val="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4C4B2DA8"/>
    <w:multiLevelType w:val="hybridMultilevel"/>
    <w:tmpl w:val="8C6EDA42"/>
    <w:lvl w:ilvl="0" w:tplc="FAA07B96">
      <w:start w:val="1"/>
      <w:numFmt w:val="decimal"/>
      <w:lvlText w:val="%1)"/>
      <w:lvlJc w:val="left"/>
      <w:pPr>
        <w:ind w:left="-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5">
    <w:nsid w:val="610248CD"/>
    <w:multiLevelType w:val="hybridMultilevel"/>
    <w:tmpl w:val="0B729852"/>
    <w:lvl w:ilvl="0" w:tplc="7DE05F9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7B4F54FB"/>
    <w:multiLevelType w:val="hybridMultilevel"/>
    <w:tmpl w:val="D62290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E7A"/>
    <w:rsid w:val="000D018F"/>
    <w:rsid w:val="00150D7B"/>
    <w:rsid w:val="002E5A50"/>
    <w:rsid w:val="002F6943"/>
    <w:rsid w:val="00347DEB"/>
    <w:rsid w:val="00450E80"/>
    <w:rsid w:val="005D4961"/>
    <w:rsid w:val="005F690C"/>
    <w:rsid w:val="00655356"/>
    <w:rsid w:val="006923D1"/>
    <w:rsid w:val="007E1CC5"/>
    <w:rsid w:val="00AA602D"/>
    <w:rsid w:val="00B123AD"/>
    <w:rsid w:val="00C909E3"/>
    <w:rsid w:val="00D90E7A"/>
    <w:rsid w:val="00DC2DBF"/>
    <w:rsid w:val="00DC5BC4"/>
    <w:rsid w:val="00DE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0E7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90E7A"/>
    <w:rPr>
      <w:b/>
      <w:bCs/>
    </w:rPr>
  </w:style>
  <w:style w:type="paragraph" w:styleId="a7">
    <w:name w:val="Normal (Web)"/>
    <w:basedOn w:val="a"/>
    <w:uiPriority w:val="99"/>
    <w:unhideWhenUsed/>
    <w:rsid w:val="00D90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90E7A"/>
    <w:rPr>
      <w:i/>
      <w:iCs/>
    </w:rPr>
  </w:style>
  <w:style w:type="paragraph" w:customStyle="1" w:styleId="Style22">
    <w:name w:val="Style22"/>
    <w:basedOn w:val="a"/>
    <w:rsid w:val="002F694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6943"/>
    <w:pPr>
      <w:spacing w:after="0" w:line="240" w:lineRule="auto"/>
      <w:ind w:left="720"/>
      <w:contextualSpacing/>
      <w:jc w:val="center"/>
    </w:pPr>
  </w:style>
  <w:style w:type="character" w:customStyle="1" w:styleId="FontStyle45">
    <w:name w:val="Font Style45"/>
    <w:basedOn w:val="a0"/>
    <w:rsid w:val="002F694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4</cp:revision>
  <dcterms:created xsi:type="dcterms:W3CDTF">2012-09-23T07:48:00Z</dcterms:created>
  <dcterms:modified xsi:type="dcterms:W3CDTF">2012-09-23T11:39:00Z</dcterms:modified>
</cp:coreProperties>
</file>